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Russell Erin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72,617</w:t>
            </w:r>
            <w:r>
              <w:rPr>
                <w:rFonts w:ascii="Times;serif" w:hAnsi="Times;serif"/>
                <w:color w:val="008000"/>
                <w:position w:val="7"/>
                <w:sz w:val="16"/>
                <w:sz w:val="20"/>
                <w:shd w:fill="FFFFFF" w:val="clear"/>
              </w:rPr>
              <w:t>(2)</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12,852</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12,852</w:t>
            </w:r>
            <w:r>
              <w:rPr>
                <w:rFonts w:ascii="Times;serif" w:hAnsi="Times;serif"/>
                <w:color w:val="008000"/>
                <w:position w:val="7"/>
                <w:sz w:val="16"/>
                <w:sz w:val="20"/>
                <w:shd w:fill="FFFFFF" w:val="clear"/>
              </w:rPr>
              <w:t>(6)</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RSU award that vested in its entirety on June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("RSU") represents the right to receive, at settlement, one share of Fortrea Holdings Inc. ("Fortrea")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RSU award that vests in its entirety twelve months after June 10, 2026, subject to the Reporting Person's continued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number reflects the aggregate number of RSUs held by the reporting person.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Erin L. Russell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8754"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3882</Characters>
  <CharactersWithSpaces>4524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