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June 9, 2026</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earliest event reported)</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Fortrea Holdings Inc.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4"/>
          <w:szCs w:val="24"/>
          <w:color w:val="auto"/>
        </w:rPr>
      </w:pPr>
    </w:p>
    <w:p>
      <w:pPr>
        <w:spacing w:after="0" w:line="312"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20" w:type="dxa"/>
            <w:vAlign w:val="bottom"/>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001-41704</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80" w:type="dxa"/>
            <w:vAlign w:val="bottom"/>
          </w:tcPr>
          <w:p>
            <w:pPr>
              <w:jc w:val="right"/>
              <w:ind w:right="1350"/>
              <w:spacing w:after="0"/>
              <w:rPr>
                <w:sz w:val="20"/>
                <w:szCs w:val="20"/>
                <w:color w:val="auto"/>
              </w:rPr>
            </w:pPr>
            <w:r>
              <w:rPr>
                <w:rFonts w:ascii="Times New Roman" w:cs="Times New Roman" w:eastAsia="Times New Roman" w:hAnsi="Times New Roman"/>
                <w:sz w:val="18"/>
                <w:szCs w:val="18"/>
                <w:b w:val="1"/>
                <w:bCs w:val="1"/>
                <w:color w:val="auto"/>
              </w:rPr>
              <w:t>92-2796441</w:t>
            </w:r>
          </w:p>
        </w:tc>
        <w:tc>
          <w:tcPr>
            <w:tcW w:w="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8"/>
        </w:trPr>
        <w:tc>
          <w:tcPr>
            <w:tcW w:w="20" w:type="dxa"/>
            <w:vAlign w:val="bottom"/>
          </w:tcPr>
          <w:p>
            <w:pPr>
              <w:spacing w:after="0"/>
              <w:rPr>
                <w:sz w:val="19"/>
                <w:szCs w:val="19"/>
                <w:color w:val="auto"/>
              </w:rPr>
            </w:pPr>
          </w:p>
        </w:tc>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100" w:type="dxa"/>
            <w:vAlign w:val="bottom"/>
          </w:tcPr>
          <w:p>
            <w:pPr>
              <w:spacing w:after="0"/>
              <w:rPr>
                <w:sz w:val="19"/>
                <w:szCs w:val="19"/>
                <w:color w:val="auto"/>
              </w:rPr>
            </w:pPr>
          </w:p>
        </w:tc>
        <w:tc>
          <w:tcPr>
            <w:tcW w:w="30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100" w:type="dxa"/>
            <w:vAlign w:val="bottom"/>
          </w:tcPr>
          <w:p>
            <w:pPr>
              <w:spacing w:after="0"/>
              <w:rPr>
                <w:sz w:val="19"/>
                <w:szCs w:val="19"/>
                <w:color w:val="auto"/>
              </w:rPr>
            </w:pPr>
          </w:p>
        </w:tc>
        <w:tc>
          <w:tcPr>
            <w:tcW w:w="38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616"/>
        </w:trPr>
        <w:tc>
          <w:tcPr>
            <w:tcW w:w="20" w:type="dxa"/>
            <w:vAlign w:val="bottom"/>
          </w:tcPr>
          <w:p>
            <w:pPr>
              <w:spacing w:after="0"/>
              <w:rPr>
                <w:sz w:val="24"/>
                <w:szCs w:val="24"/>
                <w:color w:val="auto"/>
              </w:rPr>
            </w:pPr>
          </w:p>
        </w:tc>
        <w:tc>
          <w:tcPr>
            <w:tcW w:w="4280" w:type="dxa"/>
            <w:vAlign w:val="bottom"/>
            <w:gridSpan w:val="2"/>
          </w:tcPr>
          <w:p>
            <w:pPr>
              <w:jc w:val="center"/>
              <w:ind w:left="2710"/>
              <w:spacing w:after="0"/>
              <w:rPr>
                <w:sz w:val="20"/>
                <w:szCs w:val="20"/>
                <w:color w:val="auto"/>
              </w:rPr>
            </w:pPr>
            <w:r>
              <w:rPr>
                <w:rFonts w:ascii="Times New Roman" w:cs="Times New Roman" w:eastAsia="Times New Roman" w:hAnsi="Times New Roman"/>
                <w:sz w:val="18"/>
                <w:szCs w:val="18"/>
                <w:b w:val="1"/>
                <w:bCs w:val="1"/>
                <w:color w:val="auto"/>
                <w:w w:val="99"/>
              </w:rPr>
              <w:t>8 Moore Drive</w:t>
            </w:r>
          </w:p>
        </w:tc>
        <w:tc>
          <w:tcPr>
            <w:tcW w:w="2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7"/>
        </w:trPr>
        <w:tc>
          <w:tcPr>
            <w:tcW w:w="20" w:type="dxa"/>
            <w:vAlign w:val="bottom"/>
          </w:tcPr>
          <w:p>
            <w:pPr>
              <w:spacing w:after="0"/>
              <w:rPr>
                <w:sz w:val="22"/>
                <w:szCs w:val="22"/>
                <w:color w:val="auto"/>
              </w:rPr>
            </w:pPr>
          </w:p>
        </w:tc>
        <w:tc>
          <w:tcPr>
            <w:tcW w:w="4280" w:type="dxa"/>
            <w:vAlign w:val="bottom"/>
            <w:gridSpan w:val="2"/>
          </w:tcPr>
          <w:p>
            <w:pPr>
              <w:ind w:left="1680"/>
              <w:spacing w:after="0"/>
              <w:rPr>
                <w:sz w:val="20"/>
                <w:szCs w:val="20"/>
                <w:color w:val="auto"/>
              </w:rPr>
            </w:pPr>
            <w:r>
              <w:rPr>
                <w:rFonts w:ascii="Times New Roman" w:cs="Times New Roman" w:eastAsia="Times New Roman" w:hAnsi="Times New Roman"/>
                <w:sz w:val="18"/>
                <w:szCs w:val="18"/>
                <w:b w:val="1"/>
                <w:bCs w:val="1"/>
                <w:color w:val="auto"/>
              </w:rPr>
              <w:t>Durham,</w:t>
            </w:r>
          </w:p>
        </w:tc>
        <w:tc>
          <w:tcPr>
            <w:tcW w:w="3140" w:type="dxa"/>
            <w:vAlign w:val="bottom"/>
            <w:gridSpan w:val="4"/>
          </w:tcPr>
          <w:p>
            <w:pPr>
              <w:ind w:left="700"/>
              <w:spacing w:after="0"/>
              <w:rPr>
                <w:sz w:val="20"/>
                <w:szCs w:val="20"/>
                <w:color w:val="auto"/>
              </w:rPr>
            </w:pPr>
            <w:r>
              <w:rPr>
                <w:rFonts w:ascii="Times New Roman" w:cs="Times New Roman" w:eastAsia="Times New Roman" w:hAnsi="Times New Roman"/>
                <w:sz w:val="18"/>
                <w:szCs w:val="18"/>
                <w:b w:val="1"/>
                <w:bCs w:val="1"/>
                <w:color w:val="auto"/>
              </w:rPr>
              <w:t>North Carolina</w:t>
            </w:r>
          </w:p>
        </w:tc>
        <w:tc>
          <w:tcPr>
            <w:tcW w:w="3780" w:type="dxa"/>
            <w:vAlign w:val="bottom"/>
          </w:tcPr>
          <w:p>
            <w:pPr>
              <w:jc w:val="right"/>
              <w:ind w:right="1650"/>
              <w:spacing w:after="0"/>
              <w:rPr>
                <w:sz w:val="20"/>
                <w:szCs w:val="20"/>
                <w:color w:val="auto"/>
              </w:rPr>
            </w:pPr>
            <w:r>
              <w:rPr>
                <w:rFonts w:ascii="Times New Roman" w:cs="Times New Roman" w:eastAsia="Times New Roman" w:hAnsi="Times New Roman"/>
                <w:sz w:val="18"/>
                <w:szCs w:val="18"/>
                <w:b w:val="1"/>
                <w:bCs w:val="1"/>
                <w:color w:val="auto"/>
              </w:rPr>
              <w:t>27713</w:t>
            </w:r>
          </w:p>
        </w:tc>
        <w:tc>
          <w:tcPr>
            <w:tcW w:w="20" w:type="dxa"/>
            <w:vAlign w:val="bottom"/>
          </w:tcPr>
          <w:p>
            <w:pPr>
              <w:spacing w:after="0"/>
              <w:rPr>
                <w:sz w:val="22"/>
                <w:szCs w:val="22"/>
                <w:color w:val="auto"/>
              </w:rPr>
            </w:pPr>
          </w:p>
        </w:tc>
      </w:tr>
      <w:tr>
        <w:trPr>
          <w:trHeight w:val="27"/>
        </w:trPr>
        <w:tc>
          <w:tcPr>
            <w:tcW w:w="20" w:type="dxa"/>
            <w:vAlign w:val="bottom"/>
          </w:tcPr>
          <w:p>
            <w:pPr>
              <w:spacing w:after="0"/>
              <w:rPr>
                <w:sz w:val="2"/>
                <w:szCs w:val="2"/>
                <w:color w:val="auto"/>
              </w:rPr>
            </w:pPr>
          </w:p>
        </w:tc>
        <w:tc>
          <w:tcPr>
            <w:tcW w:w="7100" w:type="dxa"/>
            <w:vAlign w:val="bottom"/>
            <w:gridSpan w:val="3"/>
          </w:tcPr>
          <w:p>
            <w:pPr>
              <w:spacing w:after="0"/>
              <w:rPr>
                <w:sz w:val="2"/>
                <w:szCs w:val="2"/>
                <w:color w:val="auto"/>
              </w:rPr>
            </w:pPr>
          </w:p>
        </w:tc>
        <w:tc>
          <w:tcPr>
            <w:tcW w:w="320" w:type="dxa"/>
            <w:vAlign w:val="bottom"/>
            <w:gridSpan w:val="3"/>
          </w:tcPr>
          <w:p>
            <w:pPr>
              <w:spacing w:after="0"/>
              <w:rPr>
                <w:sz w:val="2"/>
                <w:szCs w:val="2"/>
                <w:color w:val="auto"/>
              </w:rPr>
            </w:pPr>
          </w:p>
        </w:tc>
        <w:tc>
          <w:tcPr>
            <w:tcW w:w="3800" w:type="dxa"/>
            <w:vAlign w:val="bottom"/>
            <w:gridSpan w:val="2"/>
          </w:tcPr>
          <w:p>
            <w:pPr>
              <w:spacing w:after="0"/>
              <w:rPr>
                <w:sz w:val="2"/>
                <w:szCs w:val="2"/>
                <w:color w:val="auto"/>
              </w:rPr>
            </w:pPr>
          </w:p>
        </w:tc>
      </w:tr>
      <w:tr>
        <w:trPr>
          <w:trHeight w:val="228"/>
        </w:trPr>
        <w:tc>
          <w:tcPr>
            <w:tcW w:w="20" w:type="dxa"/>
            <w:vAlign w:val="bottom"/>
            <w:tcBorders>
              <w:top w:val="single" w:sz="8" w:color="auto"/>
            </w:tcBorders>
          </w:tcPr>
          <w:p>
            <w:pPr>
              <w:spacing w:after="0"/>
              <w:rPr>
                <w:sz w:val="19"/>
                <w:szCs w:val="19"/>
                <w:color w:val="auto"/>
              </w:rPr>
            </w:pPr>
          </w:p>
        </w:tc>
        <w:tc>
          <w:tcPr>
            <w:tcW w:w="710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60" w:type="dxa"/>
            <w:vAlign w:val="bottom"/>
          </w:tcPr>
          <w:p>
            <w:pPr>
              <w:spacing w:after="0"/>
              <w:rPr>
                <w:sz w:val="19"/>
                <w:szCs w:val="19"/>
                <w:color w:val="auto"/>
              </w:rPr>
            </w:pPr>
          </w:p>
        </w:tc>
        <w:tc>
          <w:tcPr>
            <w:tcW w:w="160" w:type="dxa"/>
            <w:vAlign w:val="bottom"/>
            <w:tcBorders>
              <w:top w:val="single" w:sz="8" w:color="auto"/>
            </w:tcBorders>
            <w:gridSpan w:val="2"/>
          </w:tcPr>
          <w:p>
            <w:pPr>
              <w:spacing w:after="0"/>
              <w:rPr>
                <w:sz w:val="19"/>
                <w:szCs w:val="19"/>
                <w:color w:val="auto"/>
              </w:rPr>
            </w:pPr>
          </w:p>
        </w:tc>
        <w:tc>
          <w:tcPr>
            <w:tcW w:w="3780" w:type="dxa"/>
            <w:vAlign w:val="bottom"/>
            <w:tcBorders>
              <w:top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8"/>
              </w:rPr>
              <w:t>(Zip Code)</w:t>
            </w:r>
          </w:p>
        </w:tc>
        <w:tc>
          <w:tcPr>
            <w:tcW w:w="20" w:type="dxa"/>
            <w:vAlign w:val="bottom"/>
          </w:tcPr>
          <w:p>
            <w:pPr>
              <w:spacing w:after="0"/>
              <w:rPr>
                <w:sz w:val="19"/>
                <w:szCs w:val="19"/>
                <w:color w:val="auto"/>
              </w:rPr>
            </w:pPr>
          </w:p>
        </w:tc>
      </w:tr>
    </w:tbl>
    <w:p>
      <w:pPr>
        <w:spacing w:after="0" w:line="3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877-495-0816</w:t>
      </w:r>
    </w:p>
    <w:p>
      <w:pPr>
        <w:spacing w:after="0" w:line="297" w:lineRule="exact"/>
        <w:rPr>
          <w:sz w:val="24"/>
          <w:szCs w:val="24"/>
          <w:color w:val="auto"/>
        </w:rPr>
      </w:pPr>
    </w:p>
    <w:p>
      <w:pPr>
        <w:jc w:val="center"/>
        <w:ind w:left="340" w:right="3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9" w:lineRule="exact"/>
        <w:rPr>
          <w:sz w:val="24"/>
          <w:szCs w:val="24"/>
          <w:color w:val="auto"/>
        </w:rPr>
      </w:pPr>
    </w:p>
    <w:p>
      <w:pPr>
        <w:ind w:left="480" w:hanging="373"/>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55" w:lineRule="exact"/>
        <w:rPr>
          <w:rFonts w:ascii="MS PGothic" w:cs="MS PGothic" w:eastAsia="MS PGothic" w:hAnsi="MS PGothic"/>
          <w:sz w:val="18"/>
          <w:szCs w:val="18"/>
          <w:color w:val="auto"/>
        </w:rPr>
      </w:pPr>
    </w:p>
    <w:p>
      <w:pPr>
        <w:ind w:left="480" w:hanging="373"/>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49" w:lineRule="exact"/>
        <w:rPr>
          <w:rFonts w:ascii="MS PGothic" w:cs="MS PGothic" w:eastAsia="MS PGothic" w:hAnsi="MS PGothic"/>
          <w:sz w:val="18"/>
          <w:szCs w:val="18"/>
          <w:color w:val="auto"/>
        </w:rPr>
      </w:pPr>
    </w:p>
    <w:p>
      <w:pPr>
        <w:ind w:left="480" w:hanging="373"/>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49" w:lineRule="exact"/>
        <w:rPr>
          <w:rFonts w:ascii="MS PGothic" w:cs="MS PGothic" w:eastAsia="MS PGothic" w:hAnsi="MS PGothic"/>
          <w:sz w:val="18"/>
          <w:szCs w:val="18"/>
          <w:color w:val="auto"/>
        </w:rPr>
      </w:pPr>
    </w:p>
    <w:p>
      <w:pPr>
        <w:ind w:left="480" w:hanging="373"/>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2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Exchange Act.</w:t>
      </w:r>
    </w:p>
    <w:p>
      <w:pPr>
        <w:spacing w:after="0" w:line="75"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1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0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0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4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3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FTRE</w:t>
            </w:r>
          </w:p>
        </w:tc>
        <w:tc>
          <w:tcPr>
            <w:tcW w:w="4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373" w:lineRule="exact"/>
        <w:rPr>
          <w:sz w:val="24"/>
          <w:szCs w:val="24"/>
          <w:color w:val="auto"/>
        </w:rPr>
      </w:pPr>
    </w:p>
    <w:p>
      <w:pPr>
        <w:ind w:right="52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99"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561340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9, 2026, Fortrea Holdings Inc. (the “Company”) held its 2026 Annual Meeting of Stockholders (the “Annual Meeting”). As of April 15, 2026, the record date for the Annual Meeting, there were 94,584,730 shares of the Company’s common stock outstanding and entitled to vote at the Annual Meeting. Of these shares, 86,194,966 were present or represented by proxy, which constituted a quorum for the transaction of business at the Annual Meeting. Proxies for the meeting were solicited in accordance with Regulation 14A under the Securities Exchange Act of 1934, as amended. At the Annual Meeting, stockholders voted on the following proposals: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1: Election of Directors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nominees were elected to the Company’s Board of Directors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20" w:type="dxa"/>
            <w:vAlign w:val="bottom"/>
          </w:tcPr>
          <w:p>
            <w:pPr>
              <w:spacing w:after="0"/>
              <w:rPr>
                <w:sz w:val="19"/>
                <w:szCs w:val="19"/>
                <w:color w:val="auto"/>
              </w:rPr>
            </w:pPr>
          </w:p>
        </w:tc>
        <w:tc>
          <w:tcPr>
            <w:tcW w:w="2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Votes</w:t>
            </w:r>
          </w:p>
        </w:tc>
        <w:tc>
          <w:tcPr>
            <w:tcW w:w="2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Votes</w:t>
            </w:r>
          </w:p>
        </w:tc>
        <w:tc>
          <w:tcPr>
            <w:tcW w:w="2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Votes</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w:t>
            </w:r>
          </w:p>
        </w:tc>
      </w:tr>
      <w:tr>
        <w:trPr>
          <w:trHeight w:val="238"/>
        </w:trPr>
        <w:tc>
          <w:tcPr>
            <w:tcW w:w="2020" w:type="dxa"/>
            <w:vAlign w:val="bottom"/>
          </w:tcPr>
          <w:p>
            <w:pPr>
              <w:spacing w:after="0"/>
              <w:rPr>
                <w:sz w:val="20"/>
                <w:szCs w:val="20"/>
                <w:color w:val="auto"/>
              </w:rPr>
            </w:pPr>
          </w:p>
        </w:tc>
        <w:tc>
          <w:tcPr>
            <w:tcW w:w="2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Withheld</w:t>
            </w:r>
          </w:p>
        </w:tc>
        <w:tc>
          <w:tcPr>
            <w:tcW w:w="2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Abstained</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Non-Votes</w:t>
            </w:r>
          </w:p>
        </w:tc>
      </w:tr>
      <w:tr>
        <w:trPr>
          <w:trHeight w:val="223"/>
        </w:trPr>
        <w:tc>
          <w:tcPr>
            <w:tcW w:w="2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Anshul Thakral</w:t>
            </w:r>
          </w:p>
        </w:tc>
        <w:tc>
          <w:tcPr>
            <w:tcW w:w="2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75,014,537</w:t>
            </w:r>
          </w:p>
        </w:tc>
        <w:tc>
          <w:tcPr>
            <w:tcW w:w="10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2,533,352</w:t>
            </w:r>
          </w:p>
        </w:tc>
        <w:tc>
          <w:tcPr>
            <w:tcW w:w="100" w:type="dxa"/>
            <w:vAlign w:val="bottom"/>
            <w:tcBorders>
              <w:top w:val="single" w:sz="8" w:color="CCEEFF"/>
            </w:tcBorders>
            <w:shd w:val="clear" w:color="auto" w:fill="CCEEFF"/>
          </w:tcPr>
          <w:p>
            <w:pPr>
              <w:spacing w:after="0"/>
              <w:rPr>
                <w:sz w:val="19"/>
                <w:szCs w:val="19"/>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14,497</w:t>
            </w:r>
          </w:p>
        </w:tc>
        <w:tc>
          <w:tcPr>
            <w:tcW w:w="10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8,632,580</w:t>
            </w:r>
          </w:p>
        </w:tc>
      </w:tr>
      <w:tr>
        <w:trPr>
          <w:trHeight w:val="229"/>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Peter M. Neupert</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70,709,138</w:t>
            </w:r>
          </w:p>
        </w:tc>
        <w:tc>
          <w:tcPr>
            <w:tcW w:w="100" w:type="dxa"/>
            <w:vAlign w:val="bottom"/>
          </w:tcPr>
          <w:p>
            <w:pPr>
              <w:spacing w:after="0"/>
              <w:rPr>
                <w:sz w:val="19"/>
                <w:szCs w:val="19"/>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5,953,866</w:t>
            </w:r>
          </w:p>
        </w:tc>
        <w:tc>
          <w:tcPr>
            <w:tcW w:w="10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899,382</w:t>
            </w:r>
          </w:p>
        </w:tc>
        <w:tc>
          <w:tcPr>
            <w:tcW w:w="100" w:type="dxa"/>
            <w:vAlign w:val="bottom"/>
          </w:tcPr>
          <w:p>
            <w:pPr>
              <w:spacing w:after="0"/>
              <w:rPr>
                <w:sz w:val="19"/>
                <w:szCs w:val="19"/>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8,632,580</w:t>
            </w:r>
          </w:p>
        </w:tc>
      </w:tr>
      <w:tr>
        <w:trPr>
          <w:trHeight w:val="230"/>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William J. Sharbaugh</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74,923,196</w:t>
            </w: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2,623,178</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16,012</w:t>
            </w: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8,632,580</w:t>
            </w: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2: Ratification of Appointment of Independent Registered Public Accounting Firm</w:t>
      </w:r>
    </w:p>
    <w:p>
      <w:pPr>
        <w:spacing w:after="0" w:line="2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appointment of Deloitte &amp; Touche LLP as the Company’s independent registered public accounting firm for the fiscal year ending December 31, 2026 was ratified based upon the following votes: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2"/>
              </w:rPr>
              <w:t>Votes</w:t>
            </w: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2"/>
              </w:rPr>
              <w:t>Votes</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w:t>
            </w:r>
          </w:p>
        </w:tc>
      </w:tr>
      <w:tr>
        <w:trPr>
          <w:trHeight w:val="238"/>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Abstained</w:t>
            </w:r>
          </w:p>
        </w:tc>
      </w:tr>
      <w:tr>
        <w:trPr>
          <w:trHeight w:val="223"/>
        </w:trPr>
        <w:tc>
          <w:tcPr>
            <w:tcW w:w="3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86,104,449</w:t>
            </w:r>
          </w:p>
        </w:tc>
        <w:tc>
          <w:tcPr>
            <w:tcW w:w="100" w:type="dxa"/>
            <w:vAlign w:val="bottom"/>
            <w:tcBorders>
              <w:top w:val="single" w:sz="8" w:color="CCEEFF"/>
            </w:tcBorders>
            <w:shd w:val="clear" w:color="auto" w:fill="CCEEFF"/>
          </w:tcPr>
          <w:p>
            <w:pPr>
              <w:spacing w:after="0"/>
              <w:rPr>
                <w:sz w:val="19"/>
                <w:szCs w:val="19"/>
                <w:color w:val="auto"/>
              </w:rPr>
            </w:pPr>
          </w:p>
        </w:tc>
        <w:tc>
          <w:tcPr>
            <w:tcW w:w="3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71,295</w:t>
            </w:r>
          </w:p>
        </w:tc>
        <w:tc>
          <w:tcPr>
            <w:tcW w:w="80" w:type="dxa"/>
            <w:vAlign w:val="bottom"/>
            <w:tcBorders>
              <w:top w:val="single" w:sz="8" w:color="CCEEFF"/>
            </w:tcBorders>
            <w:shd w:val="clear" w:color="auto" w:fill="CCEEFF"/>
          </w:tcPr>
          <w:p>
            <w:pPr>
              <w:spacing w:after="0"/>
              <w:rPr>
                <w:sz w:val="19"/>
                <w:szCs w:val="19"/>
                <w:color w:val="auto"/>
              </w:rPr>
            </w:pPr>
          </w:p>
        </w:tc>
        <w:tc>
          <w:tcPr>
            <w:tcW w:w="3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19,222</w:t>
            </w: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3: Advisory (Non-Binding) Vote on the Compensation of the Company’s Named Executive Officers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proposal to approve, on an advisory (non-binding) basis, the compensation of the Company’s Named Executive Officers was approved based upon the following votes: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Votes</w:t>
            </w:r>
          </w:p>
        </w:tc>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2"/>
              </w:rPr>
              <w:t>Votes</w:t>
            </w:r>
          </w:p>
        </w:tc>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2"/>
              </w:rPr>
              <w:t>Votes</w:t>
            </w:r>
          </w:p>
        </w:tc>
        <w:tc>
          <w:tcPr>
            <w:tcW w:w="27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Broker</w:t>
            </w:r>
          </w:p>
        </w:tc>
      </w:tr>
      <w:tr>
        <w:trPr>
          <w:trHeight w:val="238"/>
        </w:trPr>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8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Abstained</w:t>
            </w:r>
          </w:p>
        </w:tc>
        <w:tc>
          <w:tcPr>
            <w:tcW w:w="27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Non-Votes</w:t>
            </w:r>
          </w:p>
        </w:tc>
      </w:tr>
      <w:tr>
        <w:trPr>
          <w:trHeight w:val="223"/>
        </w:trPr>
        <w:tc>
          <w:tcPr>
            <w:tcW w:w="2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73,544,293</w:t>
            </w:r>
          </w:p>
        </w:tc>
        <w:tc>
          <w:tcPr>
            <w:tcW w:w="10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3,877,113</w:t>
            </w:r>
          </w:p>
        </w:tc>
        <w:tc>
          <w:tcPr>
            <w:tcW w:w="10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140,980</w:t>
            </w:r>
          </w:p>
        </w:tc>
        <w:tc>
          <w:tcPr>
            <w:tcW w:w="10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8,632,580</w:t>
            </w:r>
          </w:p>
        </w:tc>
        <w:tc>
          <w:tcPr>
            <w:tcW w:w="60" w:type="dxa"/>
            <w:vAlign w:val="bottom"/>
          </w:tcPr>
          <w:p>
            <w:pPr>
              <w:spacing w:after="0"/>
              <w:rPr>
                <w:sz w:val="19"/>
                <w:szCs w:val="19"/>
                <w:color w:val="auto"/>
              </w:rPr>
            </w:pPr>
          </w:p>
        </w:tc>
      </w:tr>
      <w:tr>
        <w:trPr>
          <w:trHeight w:val="1208"/>
        </w:trPr>
        <w:tc>
          <w:tcPr>
            <w:tcW w:w="2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ind w:left="530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color w:val="auto"/>
        </w:rPr>
        <w:t>Fortrea Holdings Inc.</w:t>
      </w:r>
    </w:p>
    <w:p>
      <w:pPr>
        <w:spacing w:after="0" w:line="34"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Agnieszka M.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35560</wp:posOffset>
            </wp:positionV>
            <wp:extent cx="23488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45"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color w:val="auto"/>
        </w:rPr>
        <w:t>Name: Agnieszka M. Gallagher</w:t>
      </w:r>
    </w:p>
    <w:p>
      <w:pPr>
        <w:spacing w:after="0" w:line="50"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color w:val="auto"/>
        </w:rPr>
        <w:t>Title: General Counsel</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12, 2026</w:t>
      </w:r>
    </w:p>
    <w:sectPr>
      <w:pgSz w:w="11900" w:h="16838" w:orient="portrait"/>
      <w:cols w:equalWidth="0" w:num="1">
        <w:col w:w="11200"/>
      </w:cols>
      <w:pgMar w:left="320" w:top="98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2026-06-12T15:05:58Z</dcterms:created>
  <dcterms:modified xsi:type="dcterms:W3CDTF">2026-06-12T15:05:58Z</dcterms:modified>
</cp:coreProperties>
</file>