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876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876165"/>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Smith David Ross</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 MOORE DRIVE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Fortrea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FTRE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06/10/2026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DURHAM</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27713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54"/>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jc w:val="center"/>
              <w:ind w:right="37"/>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74"/>
              <w:spacing w:after="0"/>
              <w:rPr>
                <w:sz w:val="20"/>
                <w:szCs w:val="20"/>
                <w:color w:val="auto"/>
              </w:rPr>
            </w:pPr>
            <w:r>
              <w:rPr>
                <w:rFonts w:ascii="Times New Roman" w:cs="Times New Roman" w:eastAsia="Times New Roman" w:hAnsi="Times New Roman"/>
                <w:sz w:val="16"/>
                <w:szCs w:val="16"/>
                <w:color w:val="0000FF"/>
              </w:rPr>
              <w:t>06/10/2026</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38,817</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48,361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1"/>
                <w:szCs w:val="21"/>
                <w:color w:val="008000"/>
                <w:vertAlign w:val="superscript"/>
              </w:rPr>
              <w:t>(2)</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74"/>
              <w:spacing w:after="0"/>
              <w:rPr>
                <w:sz w:val="20"/>
                <w:szCs w:val="20"/>
                <w:color w:val="auto"/>
              </w:rPr>
            </w:pPr>
            <w:r>
              <w:rPr>
                <w:rFonts w:ascii="Times New Roman" w:cs="Times New Roman" w:eastAsia="Times New Roman" w:hAnsi="Times New Roman"/>
                <w:sz w:val="16"/>
                <w:szCs w:val="16"/>
                <w:color w:val="0000FF"/>
              </w:rPr>
              <w:t>06/10/2026</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18,244</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16.34</w:t>
            </w:r>
          </w:p>
        </w:tc>
        <w:tc>
          <w:tcPr>
            <w:tcW w:w="1260" w:type="dxa"/>
            <w:vAlign w:val="bottom"/>
            <w:tcBorders>
              <w:bottom w:val="single" w:sz="8" w:color="2C2C2C"/>
            </w:tcBorders>
            <w:gridSpan w:val="3"/>
          </w:tcPr>
          <w:p>
            <w:pPr>
              <w:jc w:val="center"/>
              <w:ind w:right="262"/>
              <w:spacing w:after="0"/>
              <w:rPr>
                <w:sz w:val="20"/>
                <w:szCs w:val="20"/>
                <w:color w:val="auto"/>
              </w:rPr>
            </w:pPr>
            <w:r>
              <w:rPr>
                <w:rFonts w:ascii="Times New Roman" w:cs="Times New Roman" w:eastAsia="Times New Roman" w:hAnsi="Times New Roman"/>
                <w:sz w:val="16"/>
                <w:szCs w:val="16"/>
                <w:color w:val="0000FF"/>
              </w:rPr>
              <w:t>30,117</w:t>
            </w:r>
            <w:r>
              <w:rPr>
                <w:rFonts w:ascii="Times New Roman" w:cs="Times New Roman" w:eastAsia="Times New Roman" w:hAnsi="Times New Roman"/>
                <w:sz w:val="21"/>
                <w:szCs w:val="21"/>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jc w:val="right"/>
              <w:ind w:right="2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9"/>
                <w:szCs w:val="19"/>
                <w:color w:val="auto"/>
              </w:rPr>
            </w:pPr>
          </w:p>
        </w:tc>
        <w:tc>
          <w:tcPr>
            <w:tcW w:w="74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9"/>
                <w:szCs w:val="19"/>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38,817</w:t>
            </w:r>
          </w:p>
        </w:tc>
        <w:tc>
          <w:tcPr>
            <w:tcW w:w="74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38,817</w:t>
            </w:r>
          </w:p>
        </w:tc>
        <w:tc>
          <w:tcPr>
            <w:tcW w:w="40" w:type="dxa"/>
            <w:vAlign w:val="bottom"/>
          </w:tcPr>
          <w:p>
            <w:pPr>
              <w:spacing w:after="0"/>
              <w:rPr>
                <w:sz w:val="19"/>
                <w:szCs w:val="19"/>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62"/>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9"/>
                <w:szCs w:val="19"/>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20"/>
                <w:szCs w:val="20"/>
                <w:color w:val="auto"/>
              </w:rPr>
            </w:pPr>
          </w:p>
        </w:tc>
        <w:tc>
          <w:tcPr>
            <w:tcW w:w="74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w w:val="84"/>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12,852</w:t>
            </w:r>
          </w:p>
        </w:tc>
        <w:tc>
          <w:tcPr>
            <w:tcW w:w="520" w:type="dxa"/>
            <w:vAlign w:val="bottom"/>
          </w:tcPr>
          <w:p>
            <w:pPr>
              <w:spacing w:after="0"/>
              <w:rPr>
                <w:sz w:val="20"/>
                <w:szCs w:val="20"/>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12,852</w:t>
            </w:r>
          </w:p>
        </w:tc>
        <w:tc>
          <w:tcPr>
            <w:tcW w:w="4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ind w:right="143"/>
              <w:spacing w:after="0"/>
              <w:rPr>
                <w:sz w:val="20"/>
                <w:szCs w:val="20"/>
                <w:color w:val="auto"/>
              </w:rPr>
            </w:pPr>
            <w:r>
              <w:rPr>
                <w:rFonts w:ascii="Times New Roman" w:cs="Times New Roman" w:eastAsia="Times New Roman" w:hAnsi="Times New Roman"/>
                <w:sz w:val="13"/>
                <w:szCs w:val="13"/>
                <w:color w:val="0000FF"/>
              </w:rPr>
              <w:t>12,852</w:t>
            </w:r>
            <w:r>
              <w:rPr>
                <w:rFonts w:ascii="Times New Roman" w:cs="Times New Roman" w:eastAsia="Times New Roman" w:hAnsi="Times New Roman"/>
                <w:sz w:val="21"/>
                <w:szCs w:val="21"/>
                <w:color w:val="008000"/>
                <w:vertAlign w:val="superscript"/>
              </w:rPr>
              <w:t>(7)</w:t>
            </w: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-1986280</wp:posOffset>
            </wp:positionV>
            <wp:extent cx="28575" cy="1991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9136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4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right to receive, at settlement, one share of Fortrea Holdings Inc. ("Fortrea") common stock ("Common Stock"). This transaction represents the settlement of RSUs into Common Stock on their scheduled vesting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Fortrea to satisfy tax withholding requirements on vesting of RSUs.</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aggregate amount of Common Stock held by the reporting person.</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RSU award that vested in its entirety on June 10, 2026.</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right to receive, at settlement, one share of Fortrea Holdings Inc. ("Fortrea") common stock ("Common Stock").</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RSU award that vests in its entirety twelve months after June 10, 2026, subject to the Reporting Person's continued service as a director.</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aggregate number of RSUs held by the reporting person.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Erica Smith-Klocek,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-3175</wp:posOffset>
            </wp:positionV>
            <wp:extent cx="986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David R.</w:t>
        <w:tab/>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871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13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Smith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250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019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EXHIBIT 24</w:t>
      </w:r>
    </w:p>
    <w:p>
      <w:pPr>
        <w:spacing w:after="0" w:line="3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POWER OF ATTORNEY</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169" w:lineRule="exact"/>
        <w:rPr>
          <w:sz w:val="20"/>
          <w:szCs w:val="20"/>
          <w:color w:val="auto"/>
        </w:rPr>
      </w:pPr>
    </w:p>
    <w:p>
      <w:pPr>
        <w:ind w:right="2179"/>
        <w:spacing w:after="0" w:line="257" w:lineRule="auto"/>
        <w:rPr>
          <w:sz w:val="20"/>
          <w:szCs w:val="20"/>
          <w:color w:val="auto"/>
        </w:rPr>
      </w:pPr>
      <w:r>
        <w:rPr>
          <w:rFonts w:ascii="Courier New" w:cs="Courier New" w:eastAsia="Courier New" w:hAnsi="Courier New"/>
          <w:sz w:val="16"/>
          <w:szCs w:val="16"/>
          <w:color w:val="auto"/>
        </w:rPr>
        <w:t>KNOWN ALL BY THESE PRESENTS, that the undersigned hereby makes, constitutes and appoints each of Agnieszka Gallagher, General Counsel of Fortrea Holdings Inc. (the "Company"), and Erica Smith-Klocek, Deputy General Counsel of the Company, signing singly, with full power of substitution, the undersigned's true and lawful attorney-in-fact to: (i) execute for and on behalf of the undersigned, forms and authentication documents for EDGAR Filing Access; (ii) do and perform any and all acts for and on behalf of the undersigned which may be necessary or desirable to complete and execute any such forms and authentication documents;</w:t>
      </w:r>
    </w:p>
    <w:p>
      <w:pPr>
        <w:ind w:right="2179" w:firstLine="2"/>
        <w:spacing w:after="0" w:line="252" w:lineRule="auto"/>
        <w:tabs>
          <w:tab w:leader="none" w:pos="59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director and/or 10% shareholder of the Company, Forms 3, 4 and 5 (including amendments thereto) in accordance with Section 16(a) of the Securities Exchange Act of 1934, as amended, and the rules thereunder; (iv) do and perform any and all acts for and on behalf of the undersigned which may be necessary or desirable to complete and execute any such Form 3, 4 or 5 (including amendments thereto) and timely file such form with the United States Securities and Exchange Commission and any stock exchange or similar authority; and (v) 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attorneys-intact, in serving in such capacity at the request of the undersigned, are not assuming, nor is the Company assuming, any of the undersigned's responsibilities to comply with Section 16 of the Securities Exchange Act 0f 1934, as amended. This Power of Attorney shall remain in full force and effect until the undersigned is no longer required to file Forms 3, 4 and 5 (including amendments thereto) with respect to the undersigned's holdings of and transactions in securities issued by the Company, unless earlier revoked by the undersigned in a signed writing delivered to the foregoing attorneys-in-fact. The authority granted to any individual attorney-in-fact hereunder shall automatically terminate with immediate effect upon such attorney-in-fact ceasing to be employed by or affiliated with the Company or any of its subsidiaries. This Power of Attorney revokes all prior powers of attorney granted by the undersigned with respect to the subject matter hereof. IN WITNESS WHEREOF, the undersigned has caused this Power of Attorney to be executed on March 18, 2026.</w:t>
      </w:r>
    </w:p>
    <w:p>
      <w:pPr>
        <w:spacing w:after="0" w:line="192"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/s/ David R. Smith</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David R. Smith</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0274" TargetMode="External"/><Relationship Id="rId14" Type="http://schemas.openxmlformats.org/officeDocument/2006/relationships/hyperlink" Target="http://www.sec.gov/cgi-bin/browse-edgar?action=getcompany&amp;CIK=00019650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2026-06-12T15:23:00Z</dcterms:created>
  <dcterms:modified xsi:type="dcterms:W3CDTF">2026-06-12T15:23:00Z</dcterms:modified>
</cp:coreProperties>
</file>